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05" w:rsidRPr="00DA6505" w:rsidRDefault="00DA6505" w:rsidP="00DA6505">
      <w:pPr>
        <w:shd w:val="clear" w:color="auto" w:fill="FFFFFF"/>
        <w:spacing w:before="300" w:after="150" w:line="240" w:lineRule="auto"/>
        <w:outlineLvl w:val="0"/>
        <w:rPr>
          <w:rFonts w:ascii="inherit" w:eastAsia="Times New Roman" w:hAnsi="inherit" w:cs="Segoe UI"/>
          <w:color w:val="000000"/>
          <w:kern w:val="36"/>
          <w:sz w:val="54"/>
          <w:szCs w:val="54"/>
          <w:lang w:eastAsia="hr-BA"/>
        </w:rPr>
      </w:pPr>
      <w:r w:rsidRPr="00DA6505">
        <w:rPr>
          <w:rFonts w:ascii="inherit" w:eastAsia="Times New Roman" w:hAnsi="inherit" w:cs="Segoe UI"/>
          <w:color w:val="000000"/>
          <w:kern w:val="36"/>
          <w:sz w:val="54"/>
          <w:szCs w:val="54"/>
          <w:lang w:eastAsia="hr-BA"/>
        </w:rPr>
        <w:t>Službene novine Federacije BiH, broj 72/15</w:t>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Na osnovu člana 15. stav (2) Zakona o unutrašnjem platnom prometu ("Službene novine Federacije BiH", broj 48/15), Vlada Federacije Bosne i Hercegovine na 21. sjednici, održanoj 10.09.2015. godine, donosi</w:t>
      </w:r>
      <w:r w:rsidRPr="00DA6505">
        <w:rPr>
          <w:rFonts w:ascii="Segoe UI" w:eastAsia="Times New Roman" w:hAnsi="Segoe UI" w:cs="Segoe UI"/>
          <w:color w:val="000000"/>
          <w:sz w:val="20"/>
          <w:lang w:eastAsia="hr-BA"/>
        </w:rPr>
        <w:t>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color w:val="000000"/>
          <w:sz w:val="20"/>
          <w:szCs w:val="20"/>
          <w:lang w:eastAsia="hr-BA"/>
        </w:rPr>
        <w:br/>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UREDBU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color w:val="000000"/>
          <w:sz w:val="20"/>
          <w:szCs w:val="20"/>
          <w:lang w:eastAsia="hr-BA"/>
        </w:rPr>
        <w:br/>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O USLOVIMA I NAČINU PLAĆANJA GOTOVIM NOVCEM</w:t>
      </w:r>
      <w:r w:rsidRPr="00DA6505">
        <w:rPr>
          <w:rFonts w:ascii="Segoe UI" w:eastAsia="Times New Roman" w:hAnsi="Segoe UI" w:cs="Segoe UI"/>
          <w:color w:val="000000"/>
          <w:sz w:val="20"/>
          <w:lang w:eastAsia="hr-BA"/>
        </w:rPr>
        <w:t>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1.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(Predmet Uredbe)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(1) Ovom uredbom određuju se uslovi i način plaćanja između učesnika u platnom prometu u gotovom novcu u konvertibilnim markama, a obuhvata plaćanja u gotovom novcu, uplatu gotovog novca na račun i isplatu gotovog novca sa računa učesnika kod ovlaštenih organizacija za obavljanje poslova platnog prometa (u daljem tekstu: ovlaštene organizacije), kao i uslove držanja gotovog novca u blagajni, te uslove i način uplate dnevnog pazara na račun kod ovlaštene organizacije.(2) Učesnici u platnom prometu su poslovni subjekti i fizička lica koji su definisani Zakonom o unutrašnjem platnom prometu (u daljem tekstu: Zakon).(3) Odredbe ove uredbe koje se odnose na poslovne subjekte primjenjuju se i na poslovne jedinice stranog pravnog lica koje su registrovane i obavljaju poslovnu djelatnost u Federaciji Bosne i Hercegovine.(4) Gotov novac, u smislu ove uredbe, čine novčanice konvertibilnih maraka i kovanice konvertibilnih maraka i pfeninga.</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2.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(Obaveza otvaranja računa)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Poslovni subjekti su dužni da za potrebe plaćanja otvore račune u ovlaštenim organizacijama i sva sredstva vode na tim računima, kao i vrše novčana plaćanja preko računa u skladu sa Zakonom i zakonom koji uređuje platne transakcije, osim plaćanja za namjene navedene u članu 3. ove uredbe.</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3.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(Namjene gotovinskih plaćanja)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 xml:space="preserve">(1) U obavljanju djelatnosti poslovni subjekti mogu plaćati gotovim novcem, odnosno vršiti isplate sa svog računa za slijedeće namjene:a) isplate penzija, primanja iz oblasti boračko-invalidske zaštite i civilnih žrtava rata i druga davanja fizičkim licima iz oblasti socijalne i dječije zaštite,b) isplate akontacije putnih troškova i dnevnica za službena putovanja u zemlji i inostranstvu,c) isplate naknada i drugih primanja koja se ne smatraju dohotkom i ne podliježu oporezivanju u skladu sa propisima koji regulišu porez na dohodak,d) otkup poljoprivrednih proizvoda, šumskih plodova, ljekovitog bilja, industrijskih i drugih sekundarnih sirovina od fizičkog lica,e) isplatu štete fizičkom licu po osnovu </w:t>
      </w:r>
      <w:r w:rsidRPr="00DA6505">
        <w:rPr>
          <w:rFonts w:ascii="Segoe UI" w:eastAsia="Times New Roman" w:hAnsi="Segoe UI" w:cs="Segoe UI"/>
          <w:color w:val="000000"/>
          <w:sz w:val="20"/>
          <w:szCs w:val="20"/>
          <w:lang w:eastAsia="hr-BA"/>
        </w:rPr>
        <w:lastRenderedPageBreak/>
        <w:t>osiguranja imovine i lica, ako njihov pojedinačni iznos ne prelazi 300,00 KM,f) plaćanje takse konzularnim i diplomatskim predstavništvima,g) plaćanje dobara i usluga, izuzev plaćanja proizvoda u trgovini na veliko, prema drugom poslovnom subjektu, ako njihov pojedinačni iznos ne prelazi 200,00 KM,h) otkup efektivnog stranog novca i čekova za poslovne subjekte ovlaštene za obavljanje mjenjačkih poslova,i) isplatu sredstava fizičkim licima po odobrenim mikrokreditima ij) isplatu dobitaka fizičkim licima, ostvarenih učešćem u igrama na sreću koje se priređuju u skladu sa propisima koji regulišu igre na sreću i na osnovu odobrenja Federalnog ministarstva finansija - financija.(2) Poslovni subjekti su dužni da sve uplate i isplate u gotovom novcu dokumentuju vjerodostojnim knjigovodstvenim ispravama koje se evidentiraju i čuvaju u rokovima utvrđenim zakonskim propisima i stave na uvid nadležnim kontrolnim organima.(3) Prilikom plaćanja u gotovom novcu poslovni subjekti su dužni da primjenjuju odredbe propisa koji uređuje sprečavanje pranja novca i finansiranja terorističkih aktivnosti.</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4.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(Podizanje gotovog novca)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Poslovni subjekti mogu podizati gotov novac sa svojih računa kod ovlaštenih organizacija radi plaćanja namjena iz člana 3. ove uredbe i održavanja blagajničkog maksimuma utvrđenog odlukom organa poslovnog subjekta.</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5.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(Nalog za plaćanje)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(1) Uplata gotovog novca na račun i isplata gotovog novca sa računa realizuje se nalogom za plaćanje.(2) Nalog za uplatu gotovog novca na račun može se podnijeti svim ovlaštenim organizacijama, bez obzira gdje se vodi račun u korist kojeg se vrši uplata.(3) Nalog za isplatu gotovog novca sa računa podnosi se ovlaštenoj organizaciji koja vodi račun učesnika.</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6.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(Zabrana)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Zabranjeno je poslovnim subjektima da izmiruju svoje obaveze gotovim novcem ako imaju blokirane račune u skladu sa Zakonom.</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7.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(Blagajnički maksimum)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(1) Poslovni subjekti mogu u blagajni držati gotov novac do iznosa utvrđenog blagajničkim maksimumom i isti koristiti za gotovinska plaćanja shodno namjenama propisanim članom 3. ove uredbe.(2) Visinu blagajničkog maksimuma poslovni subjekti utvrđuju odlukom organa, u skladu sa opštim aktom na osnovu prosječnih dnevnih isplata iz blagajne u prethodnom mjesecu, kao i drugih uslova koji su od uticaja za potrebu držanja gotovog novca u blagajni.(3) U blagajnički maksimum ne ulazi gotov novac podignut sa računa kod ovlaštene organizacije za namjene iz člana 3. ove uredbe, pod uslovom da poslovni subjekti ovaj novac isplate istog ili narednog dana od dana njegovog podizanja.</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8.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(Evidentiranje gotovog novca)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Poslovni subjekti su dužni da gotov novac, ostvaren obavljanjem registrovane djelatnosti, evidentiraju u skladu sa propisima o računovodstvu i uplate istog radnog dana na svoj račun otvoren kod ovlaštene organizacije, a najkasnije narednog radnog dana.</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lastRenderedPageBreak/>
        <w:t>Član 9.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(Nadzor)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(1) Agencija za bankarstvo Federacije Bosne i Hercegovine, u skladu sa svojim zakonskim nadležnostima i ovlaštenjima, vrši kontrolu primjene ove uredbe kod ovlaštenih organizacija, kao i preduzima potrebne mjere predviđene Zakonom i drugim propisima.(2) Porezna uprava Federacije Bosne i Hercegovine i drugi kontrolni organi, vrše kontrolu primjene ove uredbe kod poslovnih subjekata, u skladu sa odredbama Zakona i posebnih propisa kojima se uređuje nadležnost i ovlaštenja ovih kontrolnih organa.(3) Agencija za bankarstvo Federacije Bosne i Hercegovine i kontrolni organi, u okviru svoje nadležnosti, sarađuju u vršenju nadzora nad primjenom odredaba Zakona, ove uredbe i drugih propisa.</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10.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(Kaznene odredbe)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(1) Novčanom kaznom u iznosu od 5.000,00 KM do 10.000,00 KM kaznit će se za prekšaj poslovni subjekt ako:a) vrši plaćanja gotovim novcem suprotno namjenama utvrđenim odredbom člana 3. stav (1) ove uredbe,b) sve uplate i isplate u gotovom novcu ne dokumentuje vjerodostojnim knjigovodstvenim dokumentima u skladu sa odredbom člana 3. stav (2) ove uredbe,c) prilikom plaćanja u gotovom novcu ne primjenjuje odredbe propisa koji uređuje sprečavanje pranja novca i finansiranja terorističkih aktivnosti, shodno odredbi člana 3. stav (3) ove uredbe,d) uplatu gotovog novca na račun i isplatu gotovog novca sa računa ne realizuje nalogom za plaćanje, shodno odredbama člana 5. ove uredbe,e) u blagajni drži gotov novac iznad iznosa utvrđenog blagajničkim maksimumom u skladu sa članom 4. ove uredbe, te ukoliko visinu blagajničkog maksimuma ne utvrđuje na način propisan odredbama člana 7. ove uredbe,f) gotov novac ostvaren obavljanjem registrovane djelatnosti ne evidentira i ne uplati u skladu sa odredbom člana 8. ove uredbe.(2) Za prekršaje iz stava (1) ovog člana kaznit će se odgovorno lice poslovnog subjekta novčanom kaznom u iznosu od 1.000,00 KM do 1.500,00 KM.</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b/>
          <w:bCs/>
          <w:color w:val="000000"/>
          <w:sz w:val="20"/>
          <w:lang w:eastAsia="hr-BA"/>
        </w:rPr>
        <w:t>Član 11. </w:t>
      </w:r>
      <w:r w:rsidRPr="00DA6505">
        <w:rPr>
          <w:rFonts w:ascii="Segoe UI" w:eastAsia="Times New Roman" w:hAnsi="Segoe UI" w:cs="Segoe UI"/>
          <w:color w:val="000000"/>
          <w:sz w:val="20"/>
          <w:szCs w:val="20"/>
          <w:lang w:eastAsia="hr-BA"/>
        </w:rPr>
        <w:br/>
      </w:r>
      <w:r w:rsidRPr="00DA6505">
        <w:rPr>
          <w:rFonts w:ascii="Segoe UI" w:eastAsia="Times New Roman" w:hAnsi="Segoe UI" w:cs="Segoe UI"/>
          <w:b/>
          <w:bCs/>
          <w:color w:val="000000"/>
          <w:sz w:val="20"/>
          <w:lang w:eastAsia="hr-BA"/>
        </w:rPr>
        <w:t>(Stupanje na snagu) </w:t>
      </w:r>
      <w:r w:rsidRPr="00DA6505">
        <w:rPr>
          <w:rFonts w:ascii="Segoe UI" w:eastAsia="Times New Roman" w:hAnsi="Segoe UI" w:cs="Segoe UI"/>
          <w:color w:val="000000"/>
          <w:sz w:val="20"/>
          <w:szCs w:val="20"/>
          <w:lang w:eastAsia="hr-BA"/>
        </w:rPr>
        <w:br/>
      </w:r>
    </w:p>
    <w:p w:rsidR="00DA6505" w:rsidRPr="00DA6505" w:rsidRDefault="00DA6505" w:rsidP="00DA6505">
      <w:pPr>
        <w:shd w:val="clear" w:color="auto" w:fill="FFFFFF"/>
        <w:spacing w:after="0" w:line="279" w:lineRule="atLeast"/>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Ova uredba stupa na snagu osmog dana od dana objavljivanja u "Službenim novinama Federacije BiH".</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t>V. broj 1184/2015 10. septembra 2015. godine Sarajevo</w:t>
      </w:r>
    </w:p>
    <w:p w:rsidR="00DA6505" w:rsidRPr="00DA6505" w:rsidRDefault="00DA6505" w:rsidP="00DA6505">
      <w:pPr>
        <w:shd w:val="clear" w:color="auto" w:fill="FFFFFF"/>
        <w:spacing w:after="150" w:line="279" w:lineRule="atLeast"/>
        <w:jc w:val="center"/>
        <w:rPr>
          <w:rFonts w:ascii="Segoe UI" w:eastAsia="Times New Roman" w:hAnsi="Segoe UI" w:cs="Segoe UI"/>
          <w:color w:val="000000"/>
          <w:sz w:val="20"/>
          <w:szCs w:val="20"/>
          <w:lang w:eastAsia="hr-BA"/>
        </w:rPr>
      </w:pPr>
      <w:r w:rsidRPr="00DA6505">
        <w:rPr>
          <w:rFonts w:ascii="Segoe UI" w:eastAsia="Times New Roman" w:hAnsi="Segoe UI" w:cs="Segoe UI"/>
          <w:color w:val="000000"/>
          <w:sz w:val="20"/>
          <w:szCs w:val="20"/>
          <w:lang w:eastAsia="hr-BA"/>
        </w:rPr>
        <w:br/>
        <w:t>Premijer</w:t>
      </w:r>
      <w:r w:rsidRPr="00DA6505">
        <w:rPr>
          <w:rFonts w:ascii="Segoe UI" w:eastAsia="Times New Roman" w:hAnsi="Segoe UI" w:cs="Segoe UI"/>
          <w:color w:val="000000"/>
          <w:sz w:val="20"/>
          <w:lang w:eastAsia="hr-BA"/>
        </w:rPr>
        <w:t> </w:t>
      </w:r>
      <w:r w:rsidRPr="00DA6505">
        <w:rPr>
          <w:rFonts w:ascii="Segoe UI" w:eastAsia="Times New Roman" w:hAnsi="Segoe UI" w:cs="Segoe UI"/>
          <w:b/>
          <w:bCs/>
          <w:color w:val="000000"/>
          <w:sz w:val="20"/>
          <w:szCs w:val="20"/>
          <w:lang w:eastAsia="hr-BA"/>
        </w:rPr>
        <w:t>Fadil Novalić</w:t>
      </w:r>
      <w:r w:rsidRPr="00DA6505">
        <w:rPr>
          <w:rFonts w:ascii="Segoe UI" w:eastAsia="Times New Roman" w:hAnsi="Segoe UI" w:cs="Segoe UI"/>
          <w:color w:val="000000"/>
          <w:sz w:val="20"/>
          <w:szCs w:val="20"/>
          <w:lang w:eastAsia="hr-BA"/>
        </w:rPr>
        <w:t>, s. r.</w:t>
      </w:r>
    </w:p>
    <w:p w:rsidR="00F463E6" w:rsidRPr="00DA6505" w:rsidRDefault="00DA6505" w:rsidP="00DA6505"/>
    <w:sectPr w:rsidR="00F463E6" w:rsidRPr="00DA6505" w:rsidSect="00070E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6505"/>
    <w:rsid w:val="00070E53"/>
    <w:rsid w:val="002E49C5"/>
    <w:rsid w:val="00DA6505"/>
    <w:rsid w:val="00FA3049"/>
  </w:rsids>
  <m:mathPr>
    <m:mathFont m:val="Cambria Math"/>
    <m:brkBin m:val="before"/>
    <m:brkBinSub m:val="--"/>
    <m:smallFrac m:val="off"/>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53"/>
  </w:style>
  <w:style w:type="paragraph" w:styleId="Heading1">
    <w:name w:val="heading 1"/>
    <w:basedOn w:val="Normal"/>
    <w:link w:val="Heading1Char"/>
    <w:uiPriority w:val="9"/>
    <w:qFormat/>
    <w:rsid w:val="00DA65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505"/>
    <w:rPr>
      <w:rFonts w:ascii="Times New Roman" w:eastAsia="Times New Roman" w:hAnsi="Times New Roman" w:cs="Times New Roman"/>
      <w:b/>
      <w:bCs/>
      <w:kern w:val="36"/>
      <w:sz w:val="48"/>
      <w:szCs w:val="48"/>
      <w:lang w:eastAsia="hr-BA"/>
    </w:rPr>
  </w:style>
  <w:style w:type="character" w:customStyle="1" w:styleId="apple-converted-space">
    <w:name w:val="apple-converted-space"/>
    <w:basedOn w:val="DefaultParagraphFont"/>
    <w:rsid w:val="00DA6505"/>
  </w:style>
  <w:style w:type="paragraph" w:customStyle="1" w:styleId="text-center">
    <w:name w:val="text-center"/>
    <w:basedOn w:val="Normal"/>
    <w:rsid w:val="00DA6505"/>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styleId="Strong">
    <w:name w:val="Strong"/>
    <w:basedOn w:val="DefaultParagraphFont"/>
    <w:uiPriority w:val="22"/>
    <w:qFormat/>
    <w:rsid w:val="00DA6505"/>
    <w:rPr>
      <w:b/>
      <w:bCs/>
    </w:rPr>
  </w:style>
</w:styles>
</file>

<file path=word/webSettings.xml><?xml version="1.0" encoding="utf-8"?>
<w:webSettings xmlns:r="http://schemas.openxmlformats.org/officeDocument/2006/relationships" xmlns:w="http://schemas.openxmlformats.org/wordprocessingml/2006/main">
  <w:divs>
    <w:div w:id="430514428">
      <w:bodyDiv w:val="1"/>
      <w:marLeft w:val="0"/>
      <w:marRight w:val="0"/>
      <w:marTop w:val="0"/>
      <w:marBottom w:val="0"/>
      <w:divBdr>
        <w:top w:val="none" w:sz="0" w:space="0" w:color="auto"/>
        <w:left w:val="none" w:sz="0" w:space="0" w:color="auto"/>
        <w:bottom w:val="none" w:sz="0" w:space="0" w:color="auto"/>
        <w:right w:val="none" w:sz="0" w:space="0" w:color="auto"/>
      </w:divBdr>
      <w:divsChild>
        <w:div w:id="2146392057">
          <w:marLeft w:val="0"/>
          <w:marRight w:val="0"/>
          <w:marTop w:val="0"/>
          <w:marBottom w:val="0"/>
          <w:divBdr>
            <w:top w:val="none" w:sz="0" w:space="0" w:color="auto"/>
            <w:left w:val="none" w:sz="0" w:space="0" w:color="auto"/>
            <w:bottom w:val="none" w:sz="0" w:space="0" w:color="auto"/>
            <w:right w:val="none" w:sz="0" w:space="0" w:color="auto"/>
          </w:divBdr>
        </w:div>
        <w:div w:id="114523326">
          <w:marLeft w:val="0"/>
          <w:marRight w:val="0"/>
          <w:marTop w:val="0"/>
          <w:marBottom w:val="0"/>
          <w:divBdr>
            <w:top w:val="none" w:sz="0" w:space="0" w:color="auto"/>
            <w:left w:val="none" w:sz="0" w:space="0" w:color="auto"/>
            <w:bottom w:val="none" w:sz="0" w:space="0" w:color="auto"/>
            <w:right w:val="none" w:sz="0" w:space="0" w:color="auto"/>
          </w:divBdr>
        </w:div>
        <w:div w:id="1091967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6278</Characters>
  <Application>Microsoft Office Word</Application>
  <DocSecurity>0</DocSecurity>
  <Lines>52</Lines>
  <Paragraphs>14</Paragraphs>
  <ScaleCrop>false</ScaleCrop>
  <Company/>
  <LinksUpToDate>false</LinksUpToDate>
  <CharactersWithSpaces>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2015-10-02T09:20:00Z</dcterms:created>
  <dcterms:modified xsi:type="dcterms:W3CDTF">2015-10-02T09:21:00Z</dcterms:modified>
</cp:coreProperties>
</file>